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8676084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B91E4B">
        <w:rPr>
          <w:rFonts w:ascii="Azo Sans Md" w:hAnsi="Azo Sans Md" w:cstheme="minorHAnsi"/>
          <w:b/>
          <w:szCs w:val="24"/>
        </w:rPr>
        <w:t>60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5E164F28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CA164D">
        <w:rPr>
          <w:rFonts w:ascii="Azo Sans Md" w:hAnsi="Azo Sans Md" w:cstheme="minorHAnsi"/>
          <w:b/>
          <w:szCs w:val="24"/>
        </w:rPr>
        <w:t>29.085/2025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F671C4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277467">
        <w:rPr>
          <w:rFonts w:ascii="Azo Sans Lt" w:hAnsi="Azo Sans Lt" w:cstheme="minorHAnsi"/>
          <w:bCs/>
          <w:szCs w:val="24"/>
        </w:rPr>
        <w:t>GLOBAL POR LOTE</w:t>
      </w:r>
    </w:p>
    <w:p w14:paraId="3D727496" w14:textId="54D8F5EB" w:rsidR="00277467" w:rsidRPr="00CA164D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CA164D" w:rsidRPr="00CA164D">
        <w:rPr>
          <w:rFonts w:ascii="Azo Sans Md" w:hAnsi="Azo Sans Md" w:cstheme="minorHAnsi"/>
          <w:b/>
          <w:szCs w:val="24"/>
        </w:rPr>
        <w:t>CONTRATAÇÃO DE EMPRESA ESPECIALIZADA PARA O FORNECIMENTO DE MATERIAL PERMANENTE, para atender as necessidades da Secretaria de Licitações e Planejamento.</w:t>
      </w:r>
    </w:p>
    <w:p w14:paraId="225F16A2" w14:textId="77777777" w:rsidR="00CA164D" w:rsidRPr="008563C4" w:rsidRDefault="00CA164D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54DFD1A1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8473D9">
        <w:rPr>
          <w:rFonts w:ascii="Azo Sans Md" w:hAnsi="Azo Sans Md" w:cstheme="minorHAnsi"/>
          <w:b/>
        </w:rPr>
        <w:t>60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277467">
        <w:rPr>
          <w:rFonts w:ascii="Azo Sans Lt" w:hAnsi="Azo Sans Lt" w:cstheme="minorHAnsi"/>
          <w:sz w:val="22"/>
          <w:szCs w:val="22"/>
        </w:rPr>
        <w:t xml:space="preserve">a </w:t>
      </w:r>
      <w:r w:rsidR="00CA164D" w:rsidRPr="00CA164D">
        <w:rPr>
          <w:rFonts w:ascii="Azo Sans Md" w:hAnsi="Azo Sans Md" w:cstheme="minorHAnsi"/>
          <w:b/>
          <w:szCs w:val="24"/>
        </w:rPr>
        <w:t>CONTRATAÇÃO DE EMPRESA ESPECIALIZADA PARA O FORNECIMENTO DE MATERIAL PERMANENTE, para atender as necessidades da Secretaria de Licitações e Planejamento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45ADE9B7" w14:textId="77777777" w:rsidR="00FC2AA8" w:rsidRDefault="00FC2AA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</w:p>
    <w:tbl>
      <w:tblPr>
        <w:tblW w:w="11154" w:type="dxa"/>
        <w:tblInd w:w="-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4"/>
        <w:gridCol w:w="993"/>
        <w:gridCol w:w="3541"/>
        <w:gridCol w:w="708"/>
        <w:gridCol w:w="993"/>
        <w:gridCol w:w="830"/>
        <w:gridCol w:w="1719"/>
        <w:gridCol w:w="1516"/>
      </w:tblGrid>
      <w:tr w:rsidR="00381F08" w:rsidRPr="003B69C3" w14:paraId="0F73F0B8" w14:textId="77777777" w:rsidTr="00381F08">
        <w:trPr>
          <w:trHeight w:val="360"/>
        </w:trPr>
        <w:tc>
          <w:tcPr>
            <w:tcW w:w="854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08132B" w14:textId="77777777" w:rsidR="005A2C5E" w:rsidRPr="00381F08" w:rsidRDefault="005A2C5E" w:rsidP="003E45E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1F0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2D45D2C" w14:textId="77777777" w:rsidR="005A2C5E" w:rsidRPr="00381F08" w:rsidRDefault="005A2C5E" w:rsidP="003E45E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1F0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CÓDIGO</w:t>
            </w:r>
          </w:p>
        </w:tc>
        <w:tc>
          <w:tcPr>
            <w:tcW w:w="35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0720E6" w14:textId="77777777" w:rsidR="005A2C5E" w:rsidRPr="00381F08" w:rsidRDefault="005A2C5E" w:rsidP="003E45E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1F0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DESCRIÇÃO DO MATERIAL.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85EF12" w14:textId="77777777" w:rsidR="005A2C5E" w:rsidRPr="00381F08" w:rsidRDefault="005A2C5E" w:rsidP="003E45E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1F0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U/C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316560" w14:textId="77777777" w:rsidR="005A2C5E" w:rsidRPr="00381F08" w:rsidRDefault="005A2C5E" w:rsidP="003E45E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1F0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MARCA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0AD390" w14:textId="77777777" w:rsidR="005A2C5E" w:rsidRPr="00381F08" w:rsidRDefault="005A2C5E" w:rsidP="003E45E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1F0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QUANT.</w:t>
            </w:r>
          </w:p>
        </w:tc>
        <w:tc>
          <w:tcPr>
            <w:tcW w:w="323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632449" w14:textId="77777777" w:rsidR="005A2C5E" w:rsidRPr="00381F08" w:rsidRDefault="005A2C5E" w:rsidP="003E45E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1F0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PREÇO </w:t>
            </w:r>
          </w:p>
        </w:tc>
      </w:tr>
      <w:tr w:rsidR="00381F08" w:rsidRPr="003B69C3" w14:paraId="1C339841" w14:textId="77777777" w:rsidTr="00381F08">
        <w:trPr>
          <w:trHeight w:val="587"/>
        </w:trPr>
        <w:tc>
          <w:tcPr>
            <w:tcW w:w="85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DE68168" w14:textId="77777777" w:rsidR="005A2C5E" w:rsidRPr="00381F08" w:rsidRDefault="005A2C5E" w:rsidP="003E45E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FF6652" w14:textId="77777777" w:rsidR="005A2C5E" w:rsidRPr="00381F08" w:rsidRDefault="005A2C5E" w:rsidP="003E45E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7053539" w14:textId="77777777" w:rsidR="005A2C5E" w:rsidRPr="00381F08" w:rsidRDefault="005A2C5E" w:rsidP="003E45E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D7B8F4" w14:textId="77777777" w:rsidR="005A2C5E" w:rsidRPr="00381F08" w:rsidRDefault="005A2C5E" w:rsidP="003E45E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F3C09" w14:textId="77777777" w:rsidR="005A2C5E" w:rsidRPr="00381F08" w:rsidRDefault="005A2C5E" w:rsidP="003E45E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F0579" w14:textId="77777777" w:rsidR="005A2C5E" w:rsidRPr="00381F08" w:rsidRDefault="005A2C5E" w:rsidP="003E45E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51FBDA" w14:textId="77777777" w:rsidR="005A2C5E" w:rsidRPr="00381F08" w:rsidRDefault="005A2C5E" w:rsidP="003E45E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1F0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UNITÁRIO 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2D3C275" w14:textId="77777777" w:rsidR="00381F08" w:rsidRPr="00381F08" w:rsidRDefault="00381F08" w:rsidP="003E45E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3D37AEA4" w14:textId="36AB406F" w:rsidR="005A2C5E" w:rsidRPr="00381F08" w:rsidRDefault="005A2C5E" w:rsidP="003E45E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1F0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TOTAL </w:t>
            </w:r>
          </w:p>
        </w:tc>
      </w:tr>
      <w:tr w:rsidR="005A2C5E" w:rsidRPr="003B69C3" w14:paraId="6EDF392D" w14:textId="77777777" w:rsidTr="00381F08">
        <w:trPr>
          <w:trHeight w:val="693"/>
        </w:trPr>
        <w:tc>
          <w:tcPr>
            <w:tcW w:w="11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264C4D1" w14:textId="77777777" w:rsidR="005A2C5E" w:rsidRPr="00381F08" w:rsidRDefault="005A2C5E" w:rsidP="003E45E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81F0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LOTE 01</w:t>
            </w:r>
          </w:p>
        </w:tc>
      </w:tr>
      <w:tr w:rsidR="00381F08" w:rsidRPr="003B69C3" w14:paraId="67988C67" w14:textId="77777777" w:rsidTr="004B4DE0">
        <w:trPr>
          <w:trHeight w:val="16479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567C" w14:textId="6D2BC664" w:rsidR="005A2C5E" w:rsidRPr="003B69C3" w:rsidRDefault="00B91E4B" w:rsidP="003E45E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lastRenderedPageBreak/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8314" w14:textId="77777777" w:rsidR="005A2C5E" w:rsidRPr="003B69C3" w:rsidRDefault="005A2C5E" w:rsidP="003E45E8">
            <w:pPr>
              <w:jc w:val="center"/>
              <w:rPr>
                <w:rFonts w:ascii="Arial" w:hAnsi="Arial" w:cs="Arial"/>
                <w:color w:val="000000"/>
              </w:rPr>
            </w:pPr>
            <w:r w:rsidRPr="003B69C3">
              <w:rPr>
                <w:rFonts w:ascii="Arial" w:hAnsi="Arial" w:cs="Arial"/>
                <w:color w:val="000000"/>
              </w:rPr>
              <w:t>474160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EB2A9" w14:textId="6FD16F5D" w:rsidR="004B4DE0" w:rsidRP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b/>
                <w:bCs/>
                <w:color w:val="000000"/>
              </w:rPr>
              <w:t xml:space="preserve">COMPUTADOR COM 02 MONITORES </w:t>
            </w:r>
            <w:r>
              <w:rPr>
                <w:rFonts w:ascii="Arial" w:hAnsi="Arial" w:cs="Arial"/>
                <w:color w:val="000000"/>
              </w:rPr>
              <w:t>–</w:t>
            </w:r>
            <w:r w:rsidRPr="004B4DE0">
              <w:rPr>
                <w:rFonts w:ascii="Arial" w:hAnsi="Arial" w:cs="Arial"/>
                <w:color w:val="000000"/>
              </w:rPr>
              <w:t xml:space="preserve"> Sistema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Operacional - Windows 11 Profissional 64-bits, pré-</w:t>
            </w:r>
            <w:r>
              <w:rPr>
                <w:rFonts w:ascii="Arial" w:hAnsi="Arial" w:cs="Arial"/>
                <w:color w:val="000000"/>
              </w:rPr>
              <w:t>instalado</w:t>
            </w:r>
            <w:r w:rsidRPr="004B4DE0">
              <w:rPr>
                <w:rFonts w:ascii="Arial" w:hAnsi="Arial" w:cs="Arial"/>
                <w:color w:val="000000"/>
              </w:rPr>
              <w:t xml:space="preserve"> e ativado, com licença original OEM.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Mouse - Óptico, 3 botões, conexão USB, cabo de 1,5 m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do mesmo fabricante do equipamento.</w:t>
            </w:r>
          </w:p>
          <w:p w14:paraId="236E293F" w14:textId="77777777" w:rsid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</w:p>
          <w:p w14:paraId="04BB4A1B" w14:textId="38CB0BC1" w:rsidR="004B4DE0" w:rsidRP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color w:val="000000"/>
              </w:rPr>
              <w:t>Monitor - 02 (DUAS) Telas de 23,8” mínima, resolução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FHD (1920 X 1080) 100 Hz., brilho mínimo de 250 cd/m²,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ajuste de Altura, inclinação, rotação e giro. Conexões: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HDMI E DP, 2 Portas USB-A 1 USBC. do mesmo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fabricante do equipamento para as duas telas.</w:t>
            </w:r>
          </w:p>
          <w:p w14:paraId="7D00EFC0" w14:textId="77777777" w:rsid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</w:p>
          <w:p w14:paraId="017FD82F" w14:textId="61C99A69" w:rsidR="004B4DE0" w:rsidRP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color w:val="000000"/>
              </w:rPr>
              <w:t>Memória Ram - 32 GB DDR5 5600 MT/s (2x16 GB),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compatível com expansão para até 128 GB,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Armazenamento - SSD de 512 GB NVMe PCIe (Gen4 ou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superior), com velocidade de leitura de pelo menos 2500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MB/s.</w:t>
            </w:r>
          </w:p>
          <w:p w14:paraId="38E206DF" w14:textId="77777777" w:rsid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</w:p>
          <w:p w14:paraId="59B81E96" w14:textId="2C5B22F7" w:rsidR="004B4DE0" w:rsidRP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color w:val="000000"/>
              </w:rPr>
              <w:t>Teclado - Padrão ABNT com teclado numérico, conexão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USB, cabo de 1,5m. do mesmo fabricante do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equipamento.</w:t>
            </w:r>
          </w:p>
          <w:p w14:paraId="5B513DBF" w14:textId="77777777" w:rsid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</w:p>
          <w:p w14:paraId="4F359DB4" w14:textId="4D7736C5" w:rsidR="004B4DE0" w:rsidRP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color w:val="000000"/>
              </w:rPr>
              <w:t>Gabinete - Mid-tower ou Small Form Factor, fonte de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alimentação (300W), 4 portas USB frontais (2.0/33.o)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sendo uma tipo C 20GB, saída de áudio, DVD/RW.</w:t>
            </w:r>
          </w:p>
          <w:p w14:paraId="63D5C7A8" w14:textId="77777777" w:rsid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</w:p>
          <w:p w14:paraId="554C17F0" w14:textId="44475E5E" w:rsidR="004B4DE0" w:rsidRP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color w:val="000000"/>
              </w:rPr>
              <w:t>Processador - Processador com desempenho adequado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para execução de sistemas corporativos e ferramentas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de gestão, exigindo ao menos 20 núcleos e 20 threads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 xml:space="preserve">para garantir eficiência em </w:t>
            </w:r>
            <w:r w:rsidRPr="004B4DE0">
              <w:rPr>
                <w:rFonts w:ascii="Arial" w:hAnsi="Arial" w:cs="Arial"/>
                <w:color w:val="000000"/>
              </w:rPr>
              <w:lastRenderedPageBreak/>
              <w:t>multitarefas 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processamentos simultâneos, deve possuir NPU com 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Tops no mínimo. Referências de desempenho podem ser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comparáveis aos processadores Intel Core U7 ou AMD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Ryzen 7, desde que atendam ao requisito de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processamento paralelo e resposta rápida sendo da mais</w:t>
            </w:r>
          </w:p>
          <w:p w14:paraId="0A7A4F5B" w14:textId="646DFF5A" w:rsidR="004B4DE0" w:rsidRP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color w:val="000000"/>
              </w:rPr>
              <w:t>recente geração disponibilizada pelo fabricante do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computador, não sendo aceito fabricação antes do ano</w:t>
            </w:r>
          </w:p>
          <w:p w14:paraId="11430830" w14:textId="77777777" w:rsidR="004B4DE0" w:rsidRP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color w:val="000000"/>
              </w:rPr>
              <w:t>de 2025.</w:t>
            </w:r>
          </w:p>
          <w:p w14:paraId="312D2AD5" w14:textId="77777777" w:rsid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</w:p>
          <w:p w14:paraId="187CCFA1" w14:textId="7A2ABE70" w:rsidR="004B4DE0" w:rsidRP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color w:val="000000"/>
              </w:rPr>
              <w:t>Placa-mãe - Compatível com o processador especificado,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suporte a SSD NVMe e mínimo de 4 Slots de memória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DDR5</w:t>
            </w:r>
          </w:p>
          <w:p w14:paraId="1AB9E745" w14:textId="77777777" w:rsid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</w:p>
          <w:p w14:paraId="4059B085" w14:textId="6BB1F46B" w:rsidR="004B4DE0" w:rsidRP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color w:val="000000"/>
              </w:rPr>
              <w:t>Rede - Placa de rede integrada Gigabit Ethernet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(100/1000Mbps)</w:t>
            </w:r>
          </w:p>
          <w:p w14:paraId="3EDA2EB8" w14:textId="77777777" w:rsid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</w:p>
          <w:p w14:paraId="01CEB72A" w14:textId="2DDFAC9D" w:rsidR="004B4DE0" w:rsidRP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color w:val="000000"/>
              </w:rPr>
              <w:t>Garantia e Suporte - Garantia mínima de 36 meses do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fabricante do equipamento, contemplando suporte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técnico especializado e cobertura contra defeitos de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fabricação e falhas de hardware inclusive para seus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acessórios (teclado, mouse e monitor). A justificativa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para o período estendido de garantia é assegurar 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continuidade dos serviços administrativos essenciais,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reduzir custos com manutenção e evitar interrupções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causadas por falhas nos equipamentos.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O equipamento ofertado pela contratada, deverá possuir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certificações de qualidade, aferindo todos os pontos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como eficiência energética através de certificações 80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 xml:space="preserve">Plus Platinum, EPEAT e EnergyStar. </w:t>
            </w:r>
            <w:r w:rsidRPr="004B4DE0">
              <w:rPr>
                <w:rFonts w:ascii="Arial" w:hAnsi="Arial" w:cs="Arial"/>
                <w:color w:val="000000"/>
              </w:rPr>
              <w:lastRenderedPageBreak/>
              <w:t>Compatibilidade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oficial com Windows 11 x64 (apresentar comprovação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dos sites originais junto a proposta) FABRICANTE deve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constar como membro do Forum of Incident Response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and Security Teams (FIRST) ou membro dos Computer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Security Incident Response Team (CSIRTs) Brasileiros do</w:t>
            </w:r>
          </w:p>
          <w:p w14:paraId="248C2A19" w14:textId="7D915234" w:rsidR="005A2C5E" w:rsidRPr="003B69C3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color w:val="000000"/>
              </w:rPr>
              <w:t>Computer Emergency Response Team (CERT.BR). Além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disso, o fabricante do equipamento deve aderir as ISOs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9001 e 14001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C62B" w14:textId="77777777" w:rsidR="005A2C5E" w:rsidRPr="003B69C3" w:rsidRDefault="005A2C5E" w:rsidP="003E45E8">
            <w:pPr>
              <w:jc w:val="center"/>
              <w:rPr>
                <w:rFonts w:ascii="Arial" w:hAnsi="Arial" w:cs="Arial"/>
                <w:color w:val="000000"/>
              </w:rPr>
            </w:pPr>
            <w:r w:rsidRPr="003B69C3">
              <w:rPr>
                <w:rFonts w:ascii="Arial" w:hAnsi="Arial" w:cs="Arial"/>
                <w:color w:val="000000"/>
              </w:rPr>
              <w:lastRenderedPageBreak/>
              <w:t>UN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253A" w14:textId="77777777" w:rsidR="005A2C5E" w:rsidRPr="003B69C3" w:rsidRDefault="005A2C5E" w:rsidP="003E45E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69C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31876" w14:textId="77777777" w:rsidR="005A2C5E" w:rsidRPr="003B69C3" w:rsidRDefault="005A2C5E" w:rsidP="003E45E8">
            <w:pPr>
              <w:jc w:val="center"/>
              <w:rPr>
                <w:rFonts w:ascii="Arial" w:hAnsi="Arial" w:cs="Arial"/>
                <w:color w:val="000000"/>
              </w:rPr>
            </w:pPr>
            <w:r w:rsidRPr="003B69C3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1A0B" w14:textId="45793EFF" w:rsidR="005A2C5E" w:rsidRPr="003B69C3" w:rsidRDefault="005A2C5E" w:rsidP="003E45E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79F429" w14:textId="1005B18E" w:rsidR="005A2C5E" w:rsidRPr="003B69C3" w:rsidRDefault="005A2C5E" w:rsidP="003E45E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81F08" w:rsidRPr="003B69C3" w14:paraId="33DA6961" w14:textId="77777777" w:rsidTr="00381F08">
        <w:trPr>
          <w:trHeight w:val="3819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3252" w14:textId="749DCBB7" w:rsidR="005A2C5E" w:rsidRPr="003B69C3" w:rsidRDefault="00B91E4B" w:rsidP="003E45E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lastRenderedPageBreak/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03B59" w14:textId="77777777" w:rsidR="005A2C5E" w:rsidRPr="003B69C3" w:rsidRDefault="005A2C5E" w:rsidP="003E45E8">
            <w:pPr>
              <w:jc w:val="center"/>
              <w:rPr>
                <w:rFonts w:ascii="Arial" w:hAnsi="Arial" w:cs="Arial"/>
                <w:color w:val="000000"/>
              </w:rPr>
            </w:pPr>
            <w:r w:rsidRPr="003B69C3">
              <w:rPr>
                <w:rFonts w:ascii="Arial" w:hAnsi="Arial" w:cs="Arial"/>
                <w:color w:val="000000"/>
              </w:rPr>
              <w:t>452467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0AC0B5" w14:textId="77777777" w:rsidR="004B4DE0" w:rsidRP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b/>
                <w:bCs/>
                <w:color w:val="000000"/>
              </w:rPr>
              <w:t xml:space="preserve">NOBREAK </w:t>
            </w:r>
            <w:r w:rsidRPr="004B4DE0">
              <w:rPr>
                <w:rFonts w:ascii="Arial" w:hAnsi="Arial" w:cs="Arial"/>
                <w:color w:val="000000"/>
              </w:rPr>
              <w:t>com, pelo menos 600VA - 300 Watts de</w:t>
            </w:r>
          </w:p>
          <w:p w14:paraId="2E8FC01D" w14:textId="77777777" w:rsidR="004B4DE0" w:rsidRP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color w:val="000000"/>
              </w:rPr>
              <w:t>potência de saída, tensão de entrada: 115v/220v</w:t>
            </w:r>
          </w:p>
          <w:p w14:paraId="5BC9E2A3" w14:textId="77777777" w:rsidR="004B4DE0" w:rsidRP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color w:val="000000"/>
              </w:rPr>
              <w:t>(bivolts) - especificações mínimas: padrão brasileiro de</w:t>
            </w:r>
          </w:p>
          <w:p w14:paraId="6B0879B4" w14:textId="77777777" w:rsidR="004B4DE0" w:rsidRP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color w:val="000000"/>
              </w:rPr>
              <w:t>plugues e tomadas (plugue NBR 14136 10a/250v - pino</w:t>
            </w:r>
          </w:p>
          <w:p w14:paraId="3F31DD36" w14:textId="77777777" w:rsidR="004B4DE0" w:rsidRP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color w:val="000000"/>
              </w:rPr>
              <w:t>de 4mm de diâmetro) - tensão de saída: 115V - potência:</w:t>
            </w:r>
          </w:p>
          <w:p w14:paraId="77002CF7" w14:textId="77777777" w:rsidR="004B4DE0" w:rsidRP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color w:val="000000"/>
              </w:rPr>
              <w:t>600 va/300w - fator de potência: 0,5 - forma de onda:</w:t>
            </w:r>
          </w:p>
          <w:p w14:paraId="5CCA0374" w14:textId="77777777" w:rsidR="004B4DE0" w:rsidRP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color w:val="000000"/>
              </w:rPr>
              <w:t>senoidal aproximada - número de tomadas: mínimo 4</w:t>
            </w:r>
          </w:p>
          <w:p w14:paraId="4CF35F91" w14:textId="77777777" w:rsidR="004B4DE0" w:rsidRP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color w:val="000000"/>
              </w:rPr>
              <w:t>tomadas padrão brasileiro de plugues e tomadas (plugue</w:t>
            </w:r>
          </w:p>
          <w:p w14:paraId="2FA62321" w14:textId="77777777" w:rsidR="004B4DE0" w:rsidRP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color w:val="000000"/>
              </w:rPr>
              <w:t>NBR 14136 10a/250v - pino de 4mm de diâmetro) -</w:t>
            </w:r>
          </w:p>
          <w:p w14:paraId="139E8095" w14:textId="77777777" w:rsidR="004B4DE0" w:rsidRP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color w:val="000000"/>
              </w:rPr>
              <w:t>estabilizador; 3 estágios - filtro de linha - eficiência: 90%</w:t>
            </w:r>
          </w:p>
          <w:p w14:paraId="42B79491" w14:textId="77777777" w:rsidR="004B4DE0" w:rsidRPr="004B4DE0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color w:val="000000"/>
              </w:rPr>
              <w:t>(para operação rede) e 80% (para operação bateria) -</w:t>
            </w:r>
          </w:p>
          <w:p w14:paraId="5E518AB7" w14:textId="6C5FB427" w:rsidR="005A2C5E" w:rsidRPr="003B69C3" w:rsidRDefault="004B4DE0" w:rsidP="004B4DE0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4B4DE0">
              <w:rPr>
                <w:rFonts w:ascii="Arial" w:hAnsi="Arial" w:cs="Arial"/>
                <w:color w:val="000000"/>
              </w:rPr>
              <w:t>bateria interna: 1 bateria 12v 7a - autonomia: até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25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minutos com PC onboard + monitor LCD de 17”. Com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cabos e manuais inclusos.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Garantia mínima de 12 meses a contar da data da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B4DE0">
              <w:rPr>
                <w:rFonts w:ascii="Arial" w:hAnsi="Arial" w:cs="Arial"/>
                <w:color w:val="000000"/>
              </w:rPr>
              <w:t>entrega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36FF6" w14:textId="77777777" w:rsidR="005A2C5E" w:rsidRPr="003B69C3" w:rsidRDefault="005A2C5E" w:rsidP="003E45E8">
            <w:pPr>
              <w:jc w:val="center"/>
              <w:rPr>
                <w:rFonts w:ascii="Arial" w:hAnsi="Arial" w:cs="Arial"/>
                <w:color w:val="000000"/>
              </w:rPr>
            </w:pPr>
            <w:r w:rsidRPr="003B69C3">
              <w:rPr>
                <w:rFonts w:ascii="Arial" w:hAnsi="Arial" w:cs="Arial"/>
                <w:color w:val="000000"/>
              </w:rPr>
              <w:t>UN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B1645" w14:textId="77777777" w:rsidR="005A2C5E" w:rsidRPr="003B69C3" w:rsidRDefault="005A2C5E" w:rsidP="003E45E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B69C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301B" w14:textId="77777777" w:rsidR="005A2C5E" w:rsidRPr="003B69C3" w:rsidRDefault="005A2C5E" w:rsidP="003E45E8">
            <w:pPr>
              <w:jc w:val="center"/>
              <w:rPr>
                <w:rFonts w:ascii="Arial" w:hAnsi="Arial" w:cs="Arial"/>
                <w:color w:val="000000"/>
              </w:rPr>
            </w:pPr>
            <w:r w:rsidRPr="003B69C3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C49E3" w14:textId="0C50C81E" w:rsidR="005A2C5E" w:rsidRPr="003B69C3" w:rsidRDefault="005A2C5E" w:rsidP="003E45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4748" w14:textId="07F63B62" w:rsidR="005A2C5E" w:rsidRPr="003B69C3" w:rsidRDefault="005A2C5E" w:rsidP="003E45E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81F08" w:rsidRPr="003B69C3" w14:paraId="376B1BCF" w14:textId="77777777" w:rsidTr="00381F08">
        <w:trPr>
          <w:trHeight w:val="606"/>
        </w:trPr>
        <w:tc>
          <w:tcPr>
            <w:tcW w:w="9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097F02" w14:textId="77777777" w:rsidR="005A2C5E" w:rsidRPr="00381F08" w:rsidRDefault="005A2C5E" w:rsidP="003E45E8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81F0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TOTAL LOTE 01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6896" w14:textId="375D43FA" w:rsidR="005A2C5E" w:rsidRPr="003B69C3" w:rsidRDefault="005A2C5E" w:rsidP="003E45E8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5A2C5E" w:rsidRPr="003B69C3" w14:paraId="3556A761" w14:textId="77777777" w:rsidTr="00381F08">
        <w:trPr>
          <w:trHeight w:val="739"/>
        </w:trPr>
        <w:tc>
          <w:tcPr>
            <w:tcW w:w="1115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3169B75" w14:textId="77777777" w:rsidR="005A2C5E" w:rsidRPr="00381F08" w:rsidRDefault="005A2C5E" w:rsidP="003E45E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81F0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LOTE 02</w:t>
            </w:r>
          </w:p>
        </w:tc>
      </w:tr>
      <w:tr w:rsidR="005A2C5E" w:rsidRPr="003B69C3" w14:paraId="75E6BF82" w14:textId="77777777" w:rsidTr="00210C86">
        <w:trPr>
          <w:trHeight w:val="458"/>
        </w:trPr>
        <w:tc>
          <w:tcPr>
            <w:tcW w:w="1115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FFFD7" w14:textId="77777777" w:rsidR="005A2C5E" w:rsidRPr="003B69C3" w:rsidRDefault="005A2C5E" w:rsidP="003E45E8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F08" w:rsidRPr="003B69C3" w14:paraId="2439AACC" w14:textId="77777777" w:rsidTr="00381F08">
        <w:trPr>
          <w:trHeight w:val="1920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DC75A" w14:textId="6CC6197C" w:rsidR="005A2C5E" w:rsidRPr="003B69C3" w:rsidRDefault="00B91E4B" w:rsidP="003E45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9B8B" w14:textId="77777777" w:rsidR="005A2C5E" w:rsidRPr="003B69C3" w:rsidRDefault="005A2C5E" w:rsidP="003E45E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B69C3">
              <w:rPr>
                <w:rFonts w:ascii="Calibri" w:hAnsi="Calibri" w:cs="Calibri"/>
                <w:b/>
                <w:bCs/>
                <w:color w:val="000000"/>
              </w:rPr>
              <w:t>375076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B798" w14:textId="746DBF7B" w:rsidR="00EB1578" w:rsidRPr="00EB1578" w:rsidRDefault="00EB1578" w:rsidP="00EB1578">
            <w:pPr>
              <w:ind w:left="0" w:firstLine="0"/>
              <w:rPr>
                <w:rFonts w:ascii="Arial" w:hAnsi="Arial" w:cs="Arial"/>
                <w:color w:val="000000"/>
              </w:rPr>
            </w:pPr>
            <w:r w:rsidRPr="00EB1578">
              <w:rPr>
                <w:rFonts w:ascii="Arial" w:hAnsi="Arial" w:cs="Arial"/>
                <w:b/>
                <w:bCs/>
                <w:color w:val="000000"/>
              </w:rPr>
              <w:t>ARMÁRIO EM MDP/MDF ALTO</w:t>
            </w:r>
            <w:r w:rsidRPr="00EB1578">
              <w:rPr>
                <w:rFonts w:ascii="Arial" w:hAnsi="Arial" w:cs="Arial"/>
                <w:color w:val="000000"/>
              </w:rPr>
              <w:t>, fechado, para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B1578">
              <w:rPr>
                <w:rFonts w:ascii="Arial" w:hAnsi="Arial" w:cs="Arial"/>
                <w:color w:val="000000"/>
              </w:rPr>
              <w:t>escritório, com 02(duas) portas, com no mínimo 03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B1578">
              <w:rPr>
                <w:rFonts w:ascii="Arial" w:hAnsi="Arial" w:cs="Arial"/>
                <w:color w:val="000000"/>
              </w:rPr>
              <w:t>(três) prateleiras, com acabamento em BP, nas</w:t>
            </w:r>
          </w:p>
          <w:p w14:paraId="2ACA32D6" w14:textId="77777777" w:rsidR="00EB1578" w:rsidRPr="00EB1578" w:rsidRDefault="00EB1578" w:rsidP="00EB1578">
            <w:pPr>
              <w:ind w:left="0" w:firstLine="0"/>
              <w:rPr>
                <w:rFonts w:ascii="Arial" w:hAnsi="Arial" w:cs="Arial"/>
                <w:color w:val="000000"/>
              </w:rPr>
            </w:pPr>
            <w:r w:rsidRPr="00EB1578">
              <w:rPr>
                <w:rFonts w:ascii="Arial" w:hAnsi="Arial" w:cs="Arial"/>
                <w:color w:val="000000"/>
              </w:rPr>
              <w:t>cores cristal ou cinza. Dimensões aproximadas de</w:t>
            </w:r>
          </w:p>
          <w:p w14:paraId="2D8CE0CA" w14:textId="09E0C0C4" w:rsidR="00381F08" w:rsidRPr="003B69C3" w:rsidRDefault="00EB1578" w:rsidP="00EB1578">
            <w:pPr>
              <w:ind w:left="0" w:firstLine="0"/>
              <w:rPr>
                <w:rFonts w:ascii="Arial" w:hAnsi="Arial" w:cs="Arial"/>
                <w:color w:val="000000"/>
              </w:rPr>
            </w:pPr>
            <w:r w:rsidRPr="00EB1578">
              <w:rPr>
                <w:rFonts w:ascii="Arial" w:hAnsi="Arial" w:cs="Arial"/>
                <w:color w:val="000000"/>
              </w:rPr>
              <w:t>1,60 x 0,80 x 0,40.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B1578">
              <w:rPr>
                <w:rFonts w:ascii="Arial" w:hAnsi="Arial" w:cs="Arial"/>
                <w:color w:val="000000"/>
              </w:rPr>
              <w:t>Garantia mínima de 12 meses - Deverá ser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B1578">
              <w:rPr>
                <w:rFonts w:ascii="Arial" w:hAnsi="Arial" w:cs="Arial"/>
                <w:color w:val="000000"/>
              </w:rPr>
              <w:t>entregue montado ou ser montado no local da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B1578">
              <w:rPr>
                <w:rFonts w:ascii="Arial" w:hAnsi="Arial" w:cs="Arial"/>
                <w:color w:val="000000"/>
              </w:rPr>
              <w:t>entrega.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6F31" w14:textId="77777777" w:rsidR="005A2C5E" w:rsidRPr="003B69C3" w:rsidRDefault="005A2C5E" w:rsidP="003E45E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B69C3">
              <w:rPr>
                <w:rFonts w:ascii="Calibri" w:hAnsi="Calibri" w:cs="Calibri"/>
                <w:b/>
                <w:bCs/>
                <w:color w:val="000000"/>
              </w:rPr>
              <w:t>UN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5B0E" w14:textId="77777777" w:rsidR="005A2C5E" w:rsidRPr="003B69C3" w:rsidRDefault="005A2C5E" w:rsidP="003E45E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B69C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80106" w14:textId="02EE7132" w:rsidR="005A2C5E" w:rsidRPr="003B69C3" w:rsidRDefault="00EB1578" w:rsidP="003E45E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  <w:r w:rsidR="005A2C5E" w:rsidRPr="003B69C3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C3453" w14:textId="23E94FE0" w:rsidR="005A2C5E" w:rsidRPr="003B69C3" w:rsidRDefault="005A2C5E" w:rsidP="003E45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301244" w14:textId="4047F75C" w:rsidR="005A2C5E" w:rsidRPr="003B69C3" w:rsidRDefault="005A2C5E" w:rsidP="003E45E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81F08" w:rsidRPr="003B69C3" w14:paraId="74489351" w14:textId="77777777" w:rsidTr="00381F08">
        <w:trPr>
          <w:trHeight w:val="2322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23C2" w14:textId="7FE9248C" w:rsidR="005A2C5E" w:rsidRPr="003B69C3" w:rsidRDefault="00B91E4B" w:rsidP="003E45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AA68A" w14:textId="77777777" w:rsidR="005A2C5E" w:rsidRPr="003B69C3" w:rsidRDefault="005A2C5E" w:rsidP="003E45E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B69C3">
              <w:rPr>
                <w:rFonts w:ascii="Calibri" w:hAnsi="Calibri" w:cs="Calibri"/>
                <w:b/>
                <w:bCs/>
                <w:color w:val="000000"/>
              </w:rPr>
              <w:t>390178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9AC0" w14:textId="70BA734D" w:rsidR="00EB1578" w:rsidRPr="00EB1578" w:rsidRDefault="00EB1578" w:rsidP="00EB1578">
            <w:pPr>
              <w:ind w:left="0" w:firstLine="0"/>
              <w:rPr>
                <w:rFonts w:ascii="Arial" w:hAnsi="Arial" w:cs="Arial"/>
                <w:color w:val="000000"/>
              </w:rPr>
            </w:pPr>
            <w:r w:rsidRPr="00EB1578">
              <w:rPr>
                <w:rFonts w:ascii="Arial" w:hAnsi="Arial" w:cs="Arial"/>
                <w:b/>
                <w:bCs/>
                <w:color w:val="000000"/>
              </w:rPr>
              <w:t>CADEIRA DE ESCRITÓRIO TIPO PRESIDENCIAL</w:t>
            </w:r>
            <w:r w:rsidRPr="00EB1578">
              <w:rPr>
                <w:rFonts w:ascii="Arial" w:hAnsi="Arial" w:cs="Arial"/>
                <w:color w:val="000000"/>
              </w:rPr>
              <w:t>, revestida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B1578">
              <w:rPr>
                <w:rFonts w:ascii="Arial" w:hAnsi="Arial" w:cs="Arial"/>
                <w:color w:val="000000"/>
              </w:rPr>
              <w:t>em couro ecológico, na cor preta, braços fixos cromados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B1578">
              <w:rPr>
                <w:rFonts w:ascii="Arial" w:hAnsi="Arial" w:cs="Arial"/>
                <w:color w:val="000000"/>
              </w:rPr>
              <w:t>com apoio estofado, sistema de regulagem de altura</w:t>
            </w:r>
          </w:p>
          <w:p w14:paraId="2F6D98DC" w14:textId="77777777" w:rsidR="00EB1578" w:rsidRPr="00EB1578" w:rsidRDefault="00EB1578" w:rsidP="00EB1578">
            <w:pPr>
              <w:ind w:left="0" w:firstLine="0"/>
              <w:rPr>
                <w:rFonts w:ascii="Arial" w:hAnsi="Arial" w:cs="Arial"/>
                <w:color w:val="000000"/>
              </w:rPr>
            </w:pPr>
            <w:r w:rsidRPr="00EB1578">
              <w:rPr>
                <w:rFonts w:ascii="Arial" w:hAnsi="Arial" w:cs="Arial"/>
                <w:color w:val="000000"/>
              </w:rPr>
              <w:t>pneumático, suporta aproximadamente 140kg, com 5</w:t>
            </w:r>
          </w:p>
          <w:p w14:paraId="159FFB5E" w14:textId="387B1317" w:rsidR="00381F08" w:rsidRDefault="00EB1578" w:rsidP="00EB1578">
            <w:pPr>
              <w:ind w:left="0" w:firstLine="0"/>
              <w:rPr>
                <w:rFonts w:ascii="Arial" w:hAnsi="Arial" w:cs="Arial"/>
                <w:color w:val="000000"/>
              </w:rPr>
            </w:pPr>
            <w:r w:rsidRPr="00EB1578">
              <w:rPr>
                <w:rFonts w:ascii="Arial" w:hAnsi="Arial" w:cs="Arial"/>
                <w:color w:val="000000"/>
              </w:rPr>
              <w:t>rodízios cromados. Medidas aproximadas: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B1578">
              <w:rPr>
                <w:rFonts w:ascii="Arial" w:hAnsi="Arial" w:cs="Arial"/>
                <w:color w:val="000000"/>
              </w:rPr>
              <w:t>120x60x65cm, densidade da espuma de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B1578">
              <w:rPr>
                <w:rFonts w:ascii="Arial" w:hAnsi="Arial" w:cs="Arial"/>
                <w:color w:val="000000"/>
              </w:rPr>
              <w:t>aproximadamente D33.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B1578">
              <w:rPr>
                <w:rFonts w:ascii="Arial" w:hAnsi="Arial" w:cs="Arial"/>
                <w:b/>
                <w:bCs/>
                <w:color w:val="000000"/>
              </w:rPr>
              <w:t>Garantia mínima de 12 meses - Deverá ser entregue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EB1578">
              <w:rPr>
                <w:rFonts w:ascii="Arial" w:hAnsi="Arial" w:cs="Arial"/>
                <w:b/>
                <w:bCs/>
                <w:color w:val="000000"/>
              </w:rPr>
              <w:t>montado ou ser montado no local da entrega</w:t>
            </w:r>
            <w:r w:rsidRPr="00EB1578">
              <w:rPr>
                <w:rFonts w:ascii="Arial" w:hAnsi="Arial" w:cs="Arial"/>
                <w:color w:val="000000"/>
              </w:rPr>
              <w:t xml:space="preserve"> </w:t>
            </w:r>
          </w:p>
          <w:p w14:paraId="6D945DC4" w14:textId="77777777" w:rsidR="005A2C5E" w:rsidRPr="003B69C3" w:rsidRDefault="005A2C5E" w:rsidP="00381F08">
            <w:pPr>
              <w:ind w:left="0" w:firstLine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2CE6" w14:textId="77777777" w:rsidR="005A2C5E" w:rsidRPr="003B69C3" w:rsidRDefault="005A2C5E" w:rsidP="003E45E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B69C3">
              <w:rPr>
                <w:rFonts w:ascii="Calibri" w:hAnsi="Calibri" w:cs="Calibri"/>
                <w:b/>
                <w:bCs/>
                <w:color w:val="000000"/>
              </w:rPr>
              <w:t>UN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67C5" w14:textId="77777777" w:rsidR="005A2C5E" w:rsidRPr="003B69C3" w:rsidRDefault="005A2C5E" w:rsidP="003E45E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B69C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BFEB" w14:textId="77777777" w:rsidR="005A2C5E" w:rsidRPr="003B69C3" w:rsidRDefault="005A2C5E" w:rsidP="003E45E8">
            <w:pPr>
              <w:jc w:val="center"/>
              <w:rPr>
                <w:rFonts w:ascii="Arial" w:hAnsi="Arial" w:cs="Arial"/>
                <w:color w:val="000000"/>
              </w:rPr>
            </w:pPr>
            <w:r w:rsidRPr="003B69C3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95B8E" w14:textId="40D49B79" w:rsidR="005A2C5E" w:rsidRPr="003B69C3" w:rsidRDefault="005A2C5E" w:rsidP="003E45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3A57D6" w14:textId="48AA1AD8" w:rsidR="005A2C5E" w:rsidRPr="003B69C3" w:rsidRDefault="005A2C5E" w:rsidP="003E45E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81F08" w:rsidRPr="003B69C3" w14:paraId="5E3886FB" w14:textId="77777777" w:rsidTr="00381F08">
        <w:trPr>
          <w:trHeight w:val="542"/>
        </w:trPr>
        <w:tc>
          <w:tcPr>
            <w:tcW w:w="9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487DD1" w14:textId="77777777" w:rsidR="005A2C5E" w:rsidRPr="00381F08" w:rsidRDefault="005A2C5E" w:rsidP="003E45E8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81F0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TOTAL LOTE 02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8A47" w14:textId="545AF3CE" w:rsidR="005A2C5E" w:rsidRPr="00381F08" w:rsidRDefault="005A2C5E" w:rsidP="003E45E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81F0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5A2C5E" w:rsidRPr="003B69C3" w14:paraId="2984670B" w14:textId="77777777" w:rsidTr="00381F08">
        <w:trPr>
          <w:trHeight w:val="550"/>
        </w:trPr>
        <w:tc>
          <w:tcPr>
            <w:tcW w:w="11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99F2613" w14:textId="19BCC453" w:rsidR="005A2C5E" w:rsidRPr="00381F08" w:rsidRDefault="00B91E4B" w:rsidP="003E45E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ITEM</w:t>
            </w:r>
          </w:p>
        </w:tc>
      </w:tr>
      <w:tr w:rsidR="00381F08" w:rsidRPr="003B69C3" w14:paraId="5DB0E59F" w14:textId="77777777" w:rsidTr="00EB1578">
        <w:trPr>
          <w:trHeight w:val="2255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617BB" w14:textId="475EB812" w:rsidR="005A2C5E" w:rsidRPr="003B69C3" w:rsidRDefault="00B91E4B" w:rsidP="003E45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3826" w14:textId="77777777" w:rsidR="005A2C5E" w:rsidRPr="003B69C3" w:rsidRDefault="005A2C5E" w:rsidP="003E45E8">
            <w:pPr>
              <w:jc w:val="center"/>
              <w:rPr>
                <w:rFonts w:ascii="Calibri" w:hAnsi="Calibri" w:cs="Calibri"/>
                <w:b/>
                <w:bCs/>
                <w:color w:val="00000A"/>
              </w:rPr>
            </w:pPr>
            <w:r w:rsidRPr="003B69C3">
              <w:rPr>
                <w:rFonts w:ascii="Calibri" w:hAnsi="Calibri" w:cs="Calibri"/>
                <w:b/>
                <w:bCs/>
                <w:color w:val="00000A"/>
              </w:rPr>
              <w:t>439305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CA9EE6" w14:textId="77777777" w:rsidR="00EB1578" w:rsidRPr="00EB1578" w:rsidRDefault="00EB1578" w:rsidP="00EB1578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EB1578">
              <w:rPr>
                <w:rFonts w:ascii="Arial" w:hAnsi="Arial" w:cs="Arial"/>
                <w:b/>
                <w:bCs/>
                <w:color w:val="000000"/>
              </w:rPr>
              <w:t xml:space="preserve">FREEZER HORIZONTAL 220V </w:t>
            </w:r>
            <w:r w:rsidRPr="00EB1578">
              <w:rPr>
                <w:rFonts w:ascii="Arial" w:hAnsi="Arial" w:cs="Arial"/>
                <w:color w:val="000000"/>
              </w:rPr>
              <w:t>ou bivolt; 01 ou 02 portas;</w:t>
            </w:r>
          </w:p>
          <w:p w14:paraId="3F76DD63" w14:textId="3EB8A386" w:rsidR="00EB1578" w:rsidRPr="00EB1578" w:rsidRDefault="00EB1578" w:rsidP="00EB1578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EB1578">
              <w:rPr>
                <w:rFonts w:ascii="Arial" w:hAnsi="Arial" w:cs="Arial"/>
                <w:color w:val="000000"/>
              </w:rPr>
              <w:t>tecnologia inverter; com mínimo de 500L de capacidade;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B1578">
              <w:rPr>
                <w:rFonts w:ascii="Arial" w:hAnsi="Arial" w:cs="Arial"/>
                <w:color w:val="000000"/>
              </w:rPr>
              <w:t>04 rodas; dupla função (congelamento e refrigeração);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B1578">
              <w:rPr>
                <w:rFonts w:ascii="Arial" w:hAnsi="Arial" w:cs="Arial"/>
                <w:color w:val="000000"/>
              </w:rPr>
              <w:t>e pintura epóxi.</w:t>
            </w:r>
          </w:p>
          <w:p w14:paraId="58591A5F" w14:textId="4E17F14F" w:rsidR="005A2C5E" w:rsidRPr="003B69C3" w:rsidRDefault="00EB1578" w:rsidP="00EB1578">
            <w:pPr>
              <w:ind w:left="69" w:firstLine="0"/>
              <w:rPr>
                <w:rFonts w:ascii="Arial" w:hAnsi="Arial" w:cs="Arial"/>
                <w:color w:val="000000"/>
              </w:rPr>
            </w:pPr>
            <w:r w:rsidRPr="00EB1578">
              <w:rPr>
                <w:rFonts w:ascii="Arial" w:hAnsi="Arial" w:cs="Arial"/>
                <w:color w:val="000000"/>
              </w:rPr>
              <w:t xml:space="preserve">Garantia mínima de 24 meses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58281" w14:textId="77777777" w:rsidR="005A2C5E" w:rsidRPr="003B69C3" w:rsidRDefault="005A2C5E" w:rsidP="003E45E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B69C3">
              <w:rPr>
                <w:rFonts w:ascii="Calibri" w:hAnsi="Calibri" w:cs="Calibri"/>
                <w:b/>
                <w:bCs/>
                <w:color w:val="000000"/>
              </w:rPr>
              <w:t>UN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8075" w14:textId="77777777" w:rsidR="005A2C5E" w:rsidRPr="003B69C3" w:rsidRDefault="005A2C5E" w:rsidP="003E45E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B69C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CA11" w14:textId="4C6612DC" w:rsidR="005A2C5E" w:rsidRPr="003B69C3" w:rsidRDefault="00EB1578" w:rsidP="003E45E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  <w:r w:rsidR="005A2C5E" w:rsidRPr="003B69C3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CC58A" w14:textId="64EC3285" w:rsidR="005A2C5E" w:rsidRPr="003B69C3" w:rsidRDefault="005A2C5E" w:rsidP="003E45E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433764" w14:textId="5BB25ED0" w:rsidR="005A2C5E" w:rsidRPr="003B69C3" w:rsidRDefault="005A2C5E" w:rsidP="003E45E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81F08" w:rsidRPr="003B69C3" w14:paraId="3CDD70CC" w14:textId="77777777" w:rsidTr="00381F08">
        <w:trPr>
          <w:trHeight w:val="402"/>
        </w:trPr>
        <w:tc>
          <w:tcPr>
            <w:tcW w:w="9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65ECFC" w14:textId="77777777" w:rsidR="005A2C5E" w:rsidRPr="00381F08" w:rsidRDefault="005A2C5E" w:rsidP="003E45E8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81F0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TOTAL LOTE 03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4172C9" w14:textId="6986E485" w:rsidR="005A2C5E" w:rsidRPr="00381F08" w:rsidRDefault="005A2C5E" w:rsidP="003E45E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81F0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5A2C5E" w:rsidRPr="003B69C3" w14:paraId="3EF36725" w14:textId="77777777" w:rsidTr="00381F08">
        <w:trPr>
          <w:trHeight w:val="567"/>
        </w:trPr>
        <w:tc>
          <w:tcPr>
            <w:tcW w:w="11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63D0B9E" w14:textId="76D52204" w:rsidR="005A2C5E" w:rsidRPr="00381F08" w:rsidRDefault="005A2C5E" w:rsidP="003E45E8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81F0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TOTAL GERAL: </w:t>
            </w:r>
          </w:p>
        </w:tc>
      </w:tr>
    </w:tbl>
    <w:p w14:paraId="1AC8B981" w14:textId="77777777" w:rsidR="005A2C5E" w:rsidRDefault="005A2C5E" w:rsidP="005A2C5E">
      <w:pPr>
        <w:jc w:val="center"/>
        <w:rPr>
          <w:rFonts w:cstheme="minorHAnsi"/>
          <w:b/>
          <w:bCs/>
          <w:color w:val="000000"/>
          <w:szCs w:val="24"/>
        </w:rPr>
      </w:pPr>
    </w:p>
    <w:p w14:paraId="57814479" w14:textId="77777777" w:rsidR="005A2C5E" w:rsidRDefault="005A2C5E" w:rsidP="007A67F8">
      <w:pPr>
        <w:rPr>
          <w:rFonts w:ascii="Azo Sans Lt" w:hAnsi="Azo Sans Lt" w:cstheme="minorHAnsi"/>
          <w:b/>
          <w:sz w:val="22"/>
        </w:rPr>
      </w:pPr>
    </w:p>
    <w:p w14:paraId="7223EB74" w14:textId="77777777" w:rsidR="005A2C5E" w:rsidRDefault="005A2C5E" w:rsidP="007A67F8">
      <w:pPr>
        <w:rPr>
          <w:rFonts w:ascii="Azo Sans Lt" w:hAnsi="Azo Sans Lt" w:cstheme="minorHAnsi"/>
          <w:b/>
          <w:sz w:val="22"/>
        </w:rPr>
      </w:pPr>
    </w:p>
    <w:p w14:paraId="40B3BD4C" w14:textId="152CC8E6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AE693E6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5F81513" w14:textId="0F36BEBA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23F8DF5" w14:textId="77777777" w:rsidR="00F514F2" w:rsidRDefault="00F514F2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A07B4FC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4B6DF39" w14:textId="77777777" w:rsidR="00831CDA" w:rsidRDefault="00831CD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lastRenderedPageBreak/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19C85" w14:textId="77777777" w:rsidR="00F079C8" w:rsidRDefault="00F079C8" w:rsidP="007A67F8">
      <w:r>
        <w:separator/>
      </w:r>
    </w:p>
  </w:endnote>
  <w:endnote w:type="continuationSeparator" w:id="0">
    <w:p w14:paraId="77109F23" w14:textId="77777777" w:rsidR="00F079C8" w:rsidRDefault="00F079C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charset w:val="00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Ecofont_Spranq_eco_Sans">
    <w:altName w:val="Cambria"/>
    <w:charset w:val="00"/>
    <w:family w:val="roman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5E011" w14:textId="77777777" w:rsidR="00F079C8" w:rsidRDefault="00F079C8" w:rsidP="007A67F8">
      <w:r>
        <w:separator/>
      </w:r>
    </w:p>
  </w:footnote>
  <w:footnote w:type="continuationSeparator" w:id="0">
    <w:p w14:paraId="588E9750" w14:textId="77777777" w:rsidR="00F079C8" w:rsidRDefault="00F079C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1240F43D">
          <wp:simplePos x="0" y="0"/>
          <wp:positionH relativeFrom="column">
            <wp:posOffset>-178297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35F82ADC"/>
    <w:multiLevelType w:val="multilevel"/>
    <w:tmpl w:val="CBCC0B42"/>
    <w:styleLink w:val="Semlista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3FB543CB"/>
    <w:multiLevelType w:val="hybridMultilevel"/>
    <w:tmpl w:val="6360F964"/>
    <w:lvl w:ilvl="0" w:tplc="0416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D5CB2"/>
    <w:multiLevelType w:val="multilevel"/>
    <w:tmpl w:val="AE7A1968"/>
    <w:styleLink w:val="Semlista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" w15:restartNumberingAfterBreak="0">
    <w:nsid w:val="46F6004F"/>
    <w:multiLevelType w:val="multilevel"/>
    <w:tmpl w:val="20302C08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Calibri Light" w:hAnsi="Calibri Ligh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6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" w15:restartNumberingAfterBreak="0">
    <w:nsid w:val="4FBA69FA"/>
    <w:multiLevelType w:val="multilevel"/>
    <w:tmpl w:val="E7F06F62"/>
    <w:styleLink w:val="Semlista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9F2047"/>
    <w:multiLevelType w:val="hybridMultilevel"/>
    <w:tmpl w:val="E152C1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67EB"/>
    <w:rsid w:val="001B0B82"/>
    <w:rsid w:val="001C0BBE"/>
    <w:rsid w:val="001C216E"/>
    <w:rsid w:val="001C531E"/>
    <w:rsid w:val="001D7E91"/>
    <w:rsid w:val="001E0F3B"/>
    <w:rsid w:val="001E48EE"/>
    <w:rsid w:val="001F012D"/>
    <w:rsid w:val="001F3ED6"/>
    <w:rsid w:val="00210C86"/>
    <w:rsid w:val="002144FB"/>
    <w:rsid w:val="00222D02"/>
    <w:rsid w:val="00225D63"/>
    <w:rsid w:val="002705DD"/>
    <w:rsid w:val="00277467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1F08"/>
    <w:rsid w:val="00387F60"/>
    <w:rsid w:val="0039050B"/>
    <w:rsid w:val="003D298D"/>
    <w:rsid w:val="003F512D"/>
    <w:rsid w:val="00402EC9"/>
    <w:rsid w:val="00421C20"/>
    <w:rsid w:val="00422384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B4DE0"/>
    <w:rsid w:val="004C366B"/>
    <w:rsid w:val="004D3C98"/>
    <w:rsid w:val="004F14B5"/>
    <w:rsid w:val="004F1FE4"/>
    <w:rsid w:val="005013DA"/>
    <w:rsid w:val="00504513"/>
    <w:rsid w:val="00507DB4"/>
    <w:rsid w:val="00523B36"/>
    <w:rsid w:val="0054275E"/>
    <w:rsid w:val="0054306A"/>
    <w:rsid w:val="00545ED2"/>
    <w:rsid w:val="00553CEF"/>
    <w:rsid w:val="00560959"/>
    <w:rsid w:val="00571FDF"/>
    <w:rsid w:val="005768D8"/>
    <w:rsid w:val="005A2C5E"/>
    <w:rsid w:val="005B017A"/>
    <w:rsid w:val="005B2B5C"/>
    <w:rsid w:val="005B4DD9"/>
    <w:rsid w:val="005C1897"/>
    <w:rsid w:val="005C7FAA"/>
    <w:rsid w:val="005D7A4E"/>
    <w:rsid w:val="005E48F7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0384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3A05"/>
    <w:rsid w:val="008129E2"/>
    <w:rsid w:val="00822C50"/>
    <w:rsid w:val="00831CDA"/>
    <w:rsid w:val="00831E9A"/>
    <w:rsid w:val="00842307"/>
    <w:rsid w:val="008473D9"/>
    <w:rsid w:val="00851D94"/>
    <w:rsid w:val="008563C4"/>
    <w:rsid w:val="008565E4"/>
    <w:rsid w:val="0085670E"/>
    <w:rsid w:val="00887E08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268D"/>
    <w:rsid w:val="00A75B9A"/>
    <w:rsid w:val="00A76578"/>
    <w:rsid w:val="00A837EB"/>
    <w:rsid w:val="00A864EA"/>
    <w:rsid w:val="00A951B1"/>
    <w:rsid w:val="00AA3A7B"/>
    <w:rsid w:val="00AA3B9F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91E4B"/>
    <w:rsid w:val="00BA2F39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0B0C"/>
    <w:rsid w:val="00C510E8"/>
    <w:rsid w:val="00C65E98"/>
    <w:rsid w:val="00C6759F"/>
    <w:rsid w:val="00C71564"/>
    <w:rsid w:val="00C72941"/>
    <w:rsid w:val="00C776CB"/>
    <w:rsid w:val="00C77D9C"/>
    <w:rsid w:val="00C80B54"/>
    <w:rsid w:val="00CA164D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34C62"/>
    <w:rsid w:val="00D510B4"/>
    <w:rsid w:val="00D577F2"/>
    <w:rsid w:val="00D76D7B"/>
    <w:rsid w:val="00D80DBF"/>
    <w:rsid w:val="00DA6BFA"/>
    <w:rsid w:val="00DA6D29"/>
    <w:rsid w:val="00DB2C54"/>
    <w:rsid w:val="00DB5059"/>
    <w:rsid w:val="00DB581C"/>
    <w:rsid w:val="00DB6501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B1578"/>
    <w:rsid w:val="00ED5C62"/>
    <w:rsid w:val="00ED6C24"/>
    <w:rsid w:val="00EE14D2"/>
    <w:rsid w:val="00EE3F3B"/>
    <w:rsid w:val="00F079C8"/>
    <w:rsid w:val="00F277F2"/>
    <w:rsid w:val="00F427A1"/>
    <w:rsid w:val="00F514F2"/>
    <w:rsid w:val="00F52153"/>
    <w:rsid w:val="00F62D1C"/>
    <w:rsid w:val="00F802BC"/>
    <w:rsid w:val="00F93B76"/>
    <w:rsid w:val="00F94146"/>
    <w:rsid w:val="00FB7BA9"/>
    <w:rsid w:val="00FC2AA8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1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qFormat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  <w:style w:type="character" w:styleId="Hyperlink">
    <w:name w:val="Hyperlink"/>
    <w:uiPriority w:val="99"/>
    <w:unhideWhenUsed/>
    <w:rsid w:val="00225D63"/>
    <w:rPr>
      <w:color w:val="0000FF"/>
      <w:u w:val="single"/>
    </w:rPr>
  </w:style>
  <w:style w:type="paragraph" w:customStyle="1" w:styleId="Heading">
    <w:name w:val="Heading"/>
    <w:basedOn w:val="Standard"/>
    <w:next w:val="Textbody"/>
    <w:rsid w:val="00225D6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225D63"/>
    <w:pPr>
      <w:spacing w:after="140" w:line="276" w:lineRule="auto"/>
    </w:pPr>
  </w:style>
  <w:style w:type="paragraph" w:styleId="Lista">
    <w:name w:val="List"/>
    <w:basedOn w:val="Textbody"/>
    <w:rsid w:val="00225D63"/>
    <w:rPr>
      <w:rFonts w:cs="Arial"/>
    </w:rPr>
  </w:style>
  <w:style w:type="paragraph" w:styleId="Legenda">
    <w:name w:val="caption"/>
    <w:basedOn w:val="Standard"/>
    <w:rsid w:val="00225D6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225D63"/>
    <w:pPr>
      <w:suppressLineNumbers/>
    </w:pPr>
    <w:rPr>
      <w:rFonts w:cs="Arial"/>
    </w:rPr>
  </w:style>
  <w:style w:type="paragraph" w:customStyle="1" w:styleId="Framecontents">
    <w:name w:val="Frame contents"/>
    <w:basedOn w:val="Standard"/>
    <w:rsid w:val="00225D63"/>
  </w:style>
  <w:style w:type="paragraph" w:customStyle="1" w:styleId="TableContents">
    <w:name w:val="Table Contents"/>
    <w:basedOn w:val="Standard"/>
    <w:rsid w:val="00225D63"/>
    <w:pPr>
      <w:suppressLineNumbers/>
    </w:pPr>
  </w:style>
  <w:style w:type="paragraph" w:customStyle="1" w:styleId="TableHeading">
    <w:name w:val="Table Heading"/>
    <w:basedOn w:val="TableContents"/>
    <w:rsid w:val="00225D63"/>
  </w:style>
  <w:style w:type="character" w:customStyle="1" w:styleId="tex3">
    <w:name w:val="tex3"/>
    <w:basedOn w:val="Fontepargpadro"/>
    <w:qFormat/>
    <w:rsid w:val="00225D63"/>
  </w:style>
  <w:style w:type="character" w:customStyle="1" w:styleId="NumberingSymbols">
    <w:name w:val="Numbering Symbols"/>
    <w:rsid w:val="00225D63"/>
  </w:style>
  <w:style w:type="numbering" w:customStyle="1" w:styleId="Semlista1">
    <w:name w:val="Sem lista1"/>
    <w:basedOn w:val="Semlista"/>
    <w:rsid w:val="00225D63"/>
    <w:pPr>
      <w:numPr>
        <w:numId w:val="4"/>
      </w:numPr>
    </w:pPr>
  </w:style>
  <w:style w:type="table" w:customStyle="1" w:styleId="Tabelacomgrade1">
    <w:name w:val="Tabela com grade1"/>
    <w:basedOn w:val="Tabelanormal"/>
    <w:next w:val="Tabelacomgrade"/>
    <w:uiPriority w:val="39"/>
    <w:qFormat/>
    <w:rsid w:val="00225D6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225D63"/>
    <w:rPr>
      <w:color w:val="605E5C"/>
      <w:shd w:val="clear" w:color="auto" w:fill="E1DFDD"/>
    </w:rPr>
  </w:style>
  <w:style w:type="table" w:customStyle="1" w:styleId="Tabelacomgrade2">
    <w:name w:val="Tabela com grade2"/>
    <w:basedOn w:val="Tabelanormal"/>
    <w:next w:val="Tabelacomgrade"/>
    <w:uiPriority w:val="39"/>
    <w:qFormat/>
    <w:rsid w:val="00225D6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qFormat/>
    <w:rsid w:val="00225D63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225D63"/>
  </w:style>
  <w:style w:type="character" w:customStyle="1" w:styleId="acopre">
    <w:name w:val="acopre"/>
    <w:basedOn w:val="Fontepargpadro"/>
    <w:rsid w:val="00225D63"/>
  </w:style>
  <w:style w:type="numbering" w:customStyle="1" w:styleId="Semlista3">
    <w:name w:val="Sem lista3"/>
    <w:basedOn w:val="Semlista"/>
    <w:rsid w:val="00225D63"/>
    <w:pPr>
      <w:numPr>
        <w:numId w:val="6"/>
      </w:numPr>
    </w:pPr>
  </w:style>
  <w:style w:type="numbering" w:customStyle="1" w:styleId="WWNum2">
    <w:name w:val="WWNum2"/>
    <w:basedOn w:val="Semlista"/>
    <w:rsid w:val="00225D63"/>
    <w:pPr>
      <w:numPr>
        <w:numId w:val="7"/>
      </w:numPr>
    </w:pPr>
  </w:style>
  <w:style w:type="paragraph" w:customStyle="1" w:styleId="Standarduser">
    <w:name w:val="Standard (user)"/>
    <w:rsid w:val="00225D6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HeaderandFooter">
    <w:name w:val="Header and Footer"/>
    <w:basedOn w:val="Standard"/>
    <w:rsid w:val="00225D63"/>
    <w:pPr>
      <w:suppressLineNumbers/>
      <w:tabs>
        <w:tab w:val="center" w:pos="4819"/>
        <w:tab w:val="right" w:pos="9638"/>
      </w:tabs>
    </w:pPr>
  </w:style>
  <w:style w:type="paragraph" w:styleId="NormalWeb">
    <w:name w:val="Normal (Web)"/>
    <w:basedOn w:val="Standard"/>
    <w:rsid w:val="00225D63"/>
    <w:pPr>
      <w:spacing w:before="280" w:after="280"/>
    </w:pPr>
  </w:style>
  <w:style w:type="paragraph" w:customStyle="1" w:styleId="Normal1">
    <w:name w:val="Normal1"/>
    <w:rsid w:val="00225D63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Arial"/>
      <w:sz w:val="20"/>
      <w:szCs w:val="20"/>
      <w:lang w:eastAsia="pt-BR"/>
    </w:rPr>
  </w:style>
  <w:style w:type="numbering" w:customStyle="1" w:styleId="Semlista4">
    <w:name w:val="Sem lista4"/>
    <w:basedOn w:val="Semlista"/>
    <w:rsid w:val="00225D63"/>
    <w:pPr>
      <w:numPr>
        <w:numId w:val="8"/>
      </w:numPr>
    </w:pPr>
  </w:style>
  <w:style w:type="numbering" w:customStyle="1" w:styleId="Semlista5">
    <w:name w:val="Sem lista5"/>
    <w:basedOn w:val="Semlista"/>
    <w:rsid w:val="00225D63"/>
    <w:pPr>
      <w:numPr>
        <w:numId w:val="9"/>
      </w:numPr>
    </w:pPr>
  </w:style>
  <w:style w:type="paragraph" w:customStyle="1" w:styleId="Corpodetexto1">
    <w:name w:val="Corpo de texto1"/>
    <w:basedOn w:val="Normal"/>
    <w:rsid w:val="00225D63"/>
    <w:pPr>
      <w:suppressAutoHyphens/>
      <w:autoSpaceDN w:val="0"/>
      <w:spacing w:after="140" w:line="288" w:lineRule="auto"/>
      <w:ind w:left="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PargrafodaLista2">
    <w:name w:val="Parágrafo da Lista2"/>
    <w:basedOn w:val="Normal"/>
    <w:rsid w:val="00225D63"/>
    <w:pPr>
      <w:suppressAutoHyphens/>
      <w:autoSpaceDN w:val="0"/>
      <w:ind w:left="720" w:firstLine="0"/>
      <w:jc w:val="left"/>
    </w:pPr>
    <w:rPr>
      <w:rFonts w:ascii="Ecofont_Spranq_eco_Sans" w:hAnsi="Ecofont_Spranq_eco_Sans" w:cs="Tahoma"/>
      <w:kern w:val="3"/>
      <w:szCs w:val="24"/>
      <w:lang w:eastAsia="zh-CN"/>
    </w:rPr>
  </w:style>
  <w:style w:type="paragraph" w:customStyle="1" w:styleId="pb-0">
    <w:name w:val="pb-0"/>
    <w:basedOn w:val="Normal"/>
    <w:rsid w:val="00225D63"/>
    <w:pPr>
      <w:spacing w:before="100" w:beforeAutospacing="1" w:after="100" w:afterAutospacing="1"/>
      <w:ind w:left="0" w:firstLine="0"/>
      <w:jc w:val="left"/>
    </w:pPr>
    <w:rPr>
      <w:szCs w:val="24"/>
    </w:rPr>
  </w:style>
  <w:style w:type="character" w:customStyle="1" w:styleId="LinkdaInternet">
    <w:name w:val="Link da Internet"/>
    <w:uiPriority w:val="99"/>
    <w:unhideWhenUsed/>
    <w:qFormat/>
    <w:rsid w:val="00225D63"/>
    <w:rPr>
      <w:color w:val="0000FF"/>
      <w:u w:val="none"/>
    </w:rPr>
  </w:style>
  <w:style w:type="character" w:styleId="nfase">
    <w:name w:val="Emphasis"/>
    <w:basedOn w:val="Fontepargpadro"/>
    <w:uiPriority w:val="20"/>
    <w:qFormat/>
    <w:rsid w:val="00225D63"/>
    <w:rPr>
      <w:b/>
      <w:bCs/>
    </w:rPr>
  </w:style>
  <w:style w:type="character" w:customStyle="1" w:styleId="st">
    <w:name w:val="st"/>
    <w:basedOn w:val="Fontepargpadro"/>
    <w:qFormat/>
    <w:rsid w:val="00225D63"/>
  </w:style>
  <w:style w:type="character" w:styleId="HiperlinkVisitado">
    <w:name w:val="FollowedHyperlink"/>
    <w:basedOn w:val="Fontepargpadro"/>
    <w:uiPriority w:val="99"/>
    <w:semiHidden/>
    <w:unhideWhenUsed/>
    <w:rsid w:val="00225D63"/>
    <w:rPr>
      <w:color w:val="800080"/>
      <w:u w:val="single"/>
    </w:rPr>
  </w:style>
  <w:style w:type="paragraph" w:customStyle="1" w:styleId="msonormal0">
    <w:name w:val="msonormal"/>
    <w:basedOn w:val="Normal"/>
    <w:rsid w:val="00225D63"/>
    <w:pPr>
      <w:spacing w:before="100" w:beforeAutospacing="1" w:after="100" w:afterAutospacing="1"/>
      <w:ind w:left="0" w:firstLine="0"/>
      <w:jc w:val="left"/>
    </w:pPr>
    <w:rPr>
      <w:szCs w:val="24"/>
    </w:rPr>
  </w:style>
  <w:style w:type="paragraph" w:customStyle="1" w:styleId="font0">
    <w:name w:val="font0"/>
    <w:basedOn w:val="Normal"/>
    <w:rsid w:val="00225D63"/>
    <w:pPr>
      <w:spacing w:before="100" w:beforeAutospacing="1" w:after="100" w:afterAutospacing="1"/>
      <w:ind w:left="0" w:firstLine="0"/>
      <w:jc w:val="left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al"/>
    <w:rsid w:val="00225D63"/>
    <w:pPr>
      <w:spacing w:before="100" w:beforeAutospacing="1" w:after="100" w:afterAutospacing="1"/>
      <w:ind w:left="0" w:firstLine="0"/>
      <w:jc w:val="left"/>
    </w:pPr>
    <w:rPr>
      <w:b/>
      <w:bCs/>
      <w:sz w:val="20"/>
    </w:rPr>
  </w:style>
  <w:style w:type="paragraph" w:customStyle="1" w:styleId="font6">
    <w:name w:val="font6"/>
    <w:basedOn w:val="Normal"/>
    <w:rsid w:val="00225D63"/>
    <w:pPr>
      <w:spacing w:before="100" w:beforeAutospacing="1" w:after="100" w:afterAutospacing="1"/>
      <w:ind w:left="0" w:firstLine="0"/>
      <w:jc w:val="left"/>
    </w:pPr>
    <w:rPr>
      <w:color w:val="000000"/>
      <w:sz w:val="22"/>
      <w:szCs w:val="22"/>
    </w:rPr>
  </w:style>
  <w:style w:type="paragraph" w:customStyle="1" w:styleId="font7">
    <w:name w:val="font7"/>
    <w:basedOn w:val="Normal"/>
    <w:rsid w:val="00225D63"/>
    <w:pPr>
      <w:spacing w:before="100" w:beforeAutospacing="1" w:after="100" w:afterAutospacing="1"/>
      <w:ind w:left="0" w:firstLine="0"/>
      <w:jc w:val="left"/>
    </w:pPr>
    <w:rPr>
      <w:rFonts w:ascii="Calibri" w:hAnsi="Calibri" w:cs="Calibri"/>
      <w:sz w:val="20"/>
    </w:rPr>
  </w:style>
  <w:style w:type="paragraph" w:customStyle="1" w:styleId="font8">
    <w:name w:val="font8"/>
    <w:basedOn w:val="Normal"/>
    <w:rsid w:val="00225D63"/>
    <w:pPr>
      <w:spacing w:before="100" w:beforeAutospacing="1" w:after="100" w:afterAutospacing="1"/>
      <w:ind w:left="0" w:firstLine="0"/>
      <w:jc w:val="left"/>
    </w:pPr>
    <w:rPr>
      <w:sz w:val="20"/>
    </w:rPr>
  </w:style>
  <w:style w:type="paragraph" w:customStyle="1" w:styleId="font9">
    <w:name w:val="font9"/>
    <w:basedOn w:val="Normal"/>
    <w:rsid w:val="00225D63"/>
    <w:pPr>
      <w:spacing w:before="100" w:beforeAutospacing="1" w:after="100" w:afterAutospacing="1"/>
      <w:ind w:left="0" w:firstLine="0"/>
      <w:jc w:val="left"/>
    </w:pPr>
    <w:rPr>
      <w:color w:val="000000"/>
      <w:sz w:val="20"/>
    </w:rPr>
  </w:style>
  <w:style w:type="paragraph" w:customStyle="1" w:styleId="font10">
    <w:name w:val="font10"/>
    <w:basedOn w:val="Normal"/>
    <w:rsid w:val="00225D63"/>
    <w:pPr>
      <w:spacing w:before="100" w:beforeAutospacing="1" w:after="100" w:afterAutospacing="1"/>
      <w:ind w:left="0" w:firstLine="0"/>
      <w:jc w:val="left"/>
    </w:pPr>
    <w:rPr>
      <w:b/>
      <w:bCs/>
      <w:color w:val="000000"/>
      <w:sz w:val="20"/>
    </w:rPr>
  </w:style>
  <w:style w:type="paragraph" w:customStyle="1" w:styleId="font11">
    <w:name w:val="font11"/>
    <w:basedOn w:val="Normal"/>
    <w:rsid w:val="00225D63"/>
    <w:pPr>
      <w:spacing w:before="100" w:beforeAutospacing="1" w:after="100" w:afterAutospacing="1"/>
      <w:ind w:left="0" w:firstLine="0"/>
      <w:jc w:val="left"/>
    </w:pPr>
    <w:rPr>
      <w:b/>
      <w:bCs/>
      <w:color w:val="222222"/>
      <w:sz w:val="20"/>
    </w:rPr>
  </w:style>
  <w:style w:type="paragraph" w:customStyle="1" w:styleId="font12">
    <w:name w:val="font12"/>
    <w:basedOn w:val="Normal"/>
    <w:rsid w:val="00225D63"/>
    <w:pPr>
      <w:spacing w:before="100" w:beforeAutospacing="1" w:after="100" w:afterAutospacing="1"/>
      <w:ind w:left="0" w:firstLine="0"/>
      <w:jc w:val="left"/>
    </w:pPr>
    <w:rPr>
      <w:color w:val="222222"/>
      <w:sz w:val="20"/>
    </w:rPr>
  </w:style>
  <w:style w:type="paragraph" w:customStyle="1" w:styleId="xl65">
    <w:name w:val="xl65"/>
    <w:basedOn w:val="Normal"/>
    <w:rsid w:val="00225D63"/>
    <w:pPr>
      <w:pBdr>
        <w:bottom w:val="single" w:sz="8" w:space="0" w:color="auto"/>
      </w:pBdr>
      <w:shd w:val="clear" w:color="666699" w:fill="808080"/>
      <w:spacing w:before="100" w:beforeAutospacing="1" w:after="100" w:afterAutospacing="1"/>
      <w:ind w:left="0" w:firstLine="0"/>
      <w:jc w:val="center"/>
    </w:pPr>
    <w:rPr>
      <w:rFonts w:ascii="Book Antiqua" w:hAnsi="Book Antiqua"/>
      <w:b/>
      <w:bCs/>
      <w:szCs w:val="24"/>
    </w:rPr>
  </w:style>
  <w:style w:type="paragraph" w:customStyle="1" w:styleId="xl66">
    <w:name w:val="xl66"/>
    <w:basedOn w:val="Normal"/>
    <w:rsid w:val="00225D63"/>
    <w:pPr>
      <w:spacing w:before="100" w:beforeAutospacing="1" w:after="100" w:afterAutospacing="1"/>
      <w:ind w:left="0" w:firstLine="0"/>
      <w:jc w:val="left"/>
    </w:pPr>
    <w:rPr>
      <w:b/>
      <w:bCs/>
      <w:szCs w:val="24"/>
    </w:rPr>
  </w:style>
  <w:style w:type="paragraph" w:customStyle="1" w:styleId="xl67">
    <w:name w:val="xl67"/>
    <w:basedOn w:val="Normal"/>
    <w:rsid w:val="00225D63"/>
    <w:pPr>
      <w:spacing w:before="100" w:beforeAutospacing="1" w:after="100" w:afterAutospacing="1"/>
      <w:ind w:left="0" w:firstLine="0"/>
      <w:jc w:val="center"/>
    </w:pPr>
    <w:rPr>
      <w:b/>
      <w:bCs/>
      <w:szCs w:val="24"/>
    </w:rPr>
  </w:style>
  <w:style w:type="paragraph" w:customStyle="1" w:styleId="xl68">
    <w:name w:val="xl68"/>
    <w:basedOn w:val="Normal"/>
    <w:rsid w:val="00225D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666699" w:fill="808080"/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16"/>
      <w:szCs w:val="16"/>
    </w:rPr>
  </w:style>
  <w:style w:type="paragraph" w:customStyle="1" w:styleId="xl69">
    <w:name w:val="xl69"/>
    <w:basedOn w:val="Normal"/>
    <w:rsid w:val="00225D6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666699" w:fill="808080"/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16"/>
      <w:szCs w:val="16"/>
    </w:rPr>
  </w:style>
  <w:style w:type="paragraph" w:customStyle="1" w:styleId="xl70">
    <w:name w:val="xl70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Cs w:val="24"/>
    </w:rPr>
  </w:style>
  <w:style w:type="paragraph" w:customStyle="1" w:styleId="xl71">
    <w:name w:val="xl71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b/>
      <w:bCs/>
      <w:szCs w:val="24"/>
    </w:rPr>
  </w:style>
  <w:style w:type="paragraph" w:customStyle="1" w:styleId="xl72">
    <w:name w:val="xl72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20"/>
    </w:rPr>
  </w:style>
  <w:style w:type="paragraph" w:customStyle="1" w:styleId="xl73">
    <w:name w:val="xl73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20"/>
    </w:rPr>
  </w:style>
  <w:style w:type="paragraph" w:customStyle="1" w:styleId="xl74">
    <w:name w:val="xl74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szCs w:val="24"/>
    </w:rPr>
  </w:style>
  <w:style w:type="paragraph" w:customStyle="1" w:styleId="xl75">
    <w:name w:val="xl75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A6A6A6"/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28"/>
      <w:szCs w:val="28"/>
    </w:rPr>
  </w:style>
  <w:style w:type="paragraph" w:customStyle="1" w:styleId="xl76">
    <w:name w:val="xl76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b/>
      <w:bCs/>
      <w:szCs w:val="24"/>
    </w:rPr>
  </w:style>
  <w:style w:type="paragraph" w:customStyle="1" w:styleId="xl77">
    <w:name w:val="xl77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b/>
      <w:bCs/>
      <w:szCs w:val="24"/>
    </w:rPr>
  </w:style>
  <w:style w:type="paragraph" w:customStyle="1" w:styleId="xl78">
    <w:name w:val="xl78"/>
    <w:basedOn w:val="Normal"/>
    <w:rsid w:val="00225D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20"/>
    </w:rPr>
  </w:style>
  <w:style w:type="paragraph" w:customStyle="1" w:styleId="xl79">
    <w:name w:val="xl79"/>
    <w:basedOn w:val="Normal"/>
    <w:rsid w:val="00225D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20"/>
    </w:rPr>
  </w:style>
  <w:style w:type="paragraph" w:customStyle="1" w:styleId="xl80">
    <w:name w:val="xl80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b/>
      <w:bCs/>
      <w:szCs w:val="24"/>
    </w:rPr>
  </w:style>
  <w:style w:type="paragraph" w:customStyle="1" w:styleId="xl81">
    <w:name w:val="xl81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A6A6A6"/>
      <w:spacing w:before="100" w:beforeAutospacing="1" w:after="100" w:afterAutospacing="1"/>
      <w:ind w:left="0" w:firstLine="0"/>
      <w:jc w:val="center"/>
      <w:textAlignment w:val="center"/>
    </w:pPr>
    <w:rPr>
      <w:b/>
      <w:bCs/>
      <w:sz w:val="28"/>
      <w:szCs w:val="28"/>
    </w:rPr>
  </w:style>
  <w:style w:type="paragraph" w:customStyle="1" w:styleId="xl82">
    <w:name w:val="xl82"/>
    <w:basedOn w:val="Normal"/>
    <w:rsid w:val="00225D6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666699" w:fill="808080"/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20"/>
    </w:rPr>
  </w:style>
  <w:style w:type="paragraph" w:customStyle="1" w:styleId="xl83">
    <w:name w:val="xl83"/>
    <w:basedOn w:val="Normal"/>
    <w:rsid w:val="00225D6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666699" w:fill="808080"/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20"/>
    </w:rPr>
  </w:style>
  <w:style w:type="paragraph" w:customStyle="1" w:styleId="xl84">
    <w:name w:val="xl84"/>
    <w:basedOn w:val="Normal"/>
    <w:rsid w:val="00225D6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666699" w:fill="808080"/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20"/>
    </w:rPr>
  </w:style>
  <w:style w:type="paragraph" w:customStyle="1" w:styleId="xl85">
    <w:name w:val="xl85"/>
    <w:basedOn w:val="Normal"/>
    <w:rsid w:val="00225D6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666699" w:fill="808080"/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20"/>
    </w:rPr>
  </w:style>
  <w:style w:type="paragraph" w:customStyle="1" w:styleId="xl86">
    <w:name w:val="xl86"/>
    <w:basedOn w:val="Normal"/>
    <w:rsid w:val="00225D6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666699" w:fill="808080"/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20"/>
    </w:rPr>
  </w:style>
  <w:style w:type="paragraph" w:customStyle="1" w:styleId="xl87">
    <w:name w:val="xl87"/>
    <w:basedOn w:val="Normal"/>
    <w:rsid w:val="00225D6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666699" w:fill="808080"/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18"/>
      <w:szCs w:val="18"/>
    </w:rPr>
  </w:style>
  <w:style w:type="paragraph" w:customStyle="1" w:styleId="xl88">
    <w:name w:val="xl88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</w:pPr>
    <w:rPr>
      <w:b/>
      <w:bCs/>
      <w:szCs w:val="24"/>
    </w:rPr>
  </w:style>
  <w:style w:type="paragraph" w:customStyle="1" w:styleId="xl89">
    <w:name w:val="xl89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b/>
      <w:bCs/>
      <w:szCs w:val="24"/>
    </w:rPr>
  </w:style>
  <w:style w:type="paragraph" w:customStyle="1" w:styleId="xl90">
    <w:name w:val="xl90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b/>
      <w:bCs/>
      <w:sz w:val="20"/>
    </w:rPr>
  </w:style>
  <w:style w:type="paragraph" w:customStyle="1" w:styleId="xl91">
    <w:name w:val="xl91"/>
    <w:basedOn w:val="Normal"/>
    <w:rsid w:val="00225D63"/>
    <w:pPr>
      <w:pBdr>
        <w:left w:val="single" w:sz="8" w:space="0" w:color="auto"/>
      </w:pBdr>
      <w:spacing w:before="100" w:beforeAutospacing="1" w:after="100" w:afterAutospacing="1"/>
      <w:ind w:left="0" w:firstLine="0"/>
      <w:jc w:val="right"/>
      <w:textAlignment w:val="center"/>
    </w:pPr>
    <w:rPr>
      <w:rFonts w:ascii="Book Antiqua" w:hAnsi="Book Antiqua"/>
      <w:b/>
      <w:bCs/>
      <w:sz w:val="20"/>
    </w:rPr>
  </w:style>
  <w:style w:type="paragraph" w:customStyle="1" w:styleId="xl92">
    <w:name w:val="xl92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right"/>
      <w:textAlignment w:val="center"/>
    </w:pPr>
    <w:rPr>
      <w:rFonts w:ascii="Book Antiqua" w:hAnsi="Book Antiqua"/>
      <w:b/>
      <w:bCs/>
      <w:sz w:val="20"/>
    </w:rPr>
  </w:style>
  <w:style w:type="paragraph" w:customStyle="1" w:styleId="xl93">
    <w:name w:val="xl93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b/>
      <w:bCs/>
      <w:sz w:val="20"/>
    </w:rPr>
  </w:style>
  <w:style w:type="paragraph" w:customStyle="1" w:styleId="xl94">
    <w:name w:val="xl94"/>
    <w:basedOn w:val="Normal"/>
    <w:rsid w:val="00225D6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left="0" w:firstLine="0"/>
      <w:jc w:val="right"/>
      <w:textAlignment w:val="center"/>
    </w:pPr>
    <w:rPr>
      <w:rFonts w:ascii="Book Antiqua" w:hAnsi="Book Antiqua"/>
      <w:b/>
      <w:bCs/>
      <w:sz w:val="20"/>
    </w:rPr>
  </w:style>
  <w:style w:type="paragraph" w:customStyle="1" w:styleId="xl95">
    <w:name w:val="xl95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</w:pPr>
    <w:rPr>
      <w:szCs w:val="24"/>
    </w:rPr>
  </w:style>
  <w:style w:type="paragraph" w:customStyle="1" w:styleId="xl96">
    <w:name w:val="xl96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b/>
      <w:bCs/>
      <w:sz w:val="20"/>
    </w:rPr>
  </w:style>
  <w:style w:type="paragraph" w:customStyle="1" w:styleId="xl97">
    <w:name w:val="xl97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b/>
      <w:bCs/>
      <w:sz w:val="20"/>
    </w:rPr>
  </w:style>
  <w:style w:type="paragraph" w:customStyle="1" w:styleId="xl98">
    <w:name w:val="xl98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b/>
      <w:bCs/>
      <w:sz w:val="20"/>
    </w:rPr>
  </w:style>
  <w:style w:type="paragraph" w:customStyle="1" w:styleId="xl99">
    <w:name w:val="xl99"/>
    <w:basedOn w:val="Normal"/>
    <w:rsid w:val="00225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right"/>
      <w:textAlignment w:val="center"/>
    </w:pPr>
    <w:rPr>
      <w:rFonts w:ascii="Book Antiqua" w:hAnsi="Book Antiqua"/>
      <w:b/>
      <w:bCs/>
      <w:sz w:val="20"/>
    </w:rPr>
  </w:style>
  <w:style w:type="paragraph" w:customStyle="1" w:styleId="xl100">
    <w:name w:val="xl100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b/>
      <w:bCs/>
      <w:sz w:val="20"/>
    </w:rPr>
  </w:style>
  <w:style w:type="paragraph" w:customStyle="1" w:styleId="xl101">
    <w:name w:val="xl101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</w:pPr>
    <w:rPr>
      <w:b/>
      <w:bCs/>
      <w:sz w:val="20"/>
    </w:rPr>
  </w:style>
  <w:style w:type="paragraph" w:customStyle="1" w:styleId="xl102">
    <w:name w:val="xl102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b/>
      <w:bCs/>
      <w:sz w:val="20"/>
    </w:rPr>
  </w:style>
  <w:style w:type="paragraph" w:customStyle="1" w:styleId="xl103">
    <w:name w:val="xl103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b/>
      <w:bCs/>
      <w:color w:val="222222"/>
      <w:sz w:val="20"/>
    </w:rPr>
  </w:style>
  <w:style w:type="paragraph" w:customStyle="1" w:styleId="xl104">
    <w:name w:val="xl104"/>
    <w:basedOn w:val="Normal"/>
    <w:rsid w:val="00225D63"/>
    <w:pPr>
      <w:spacing w:before="100" w:beforeAutospacing="1" w:after="100" w:afterAutospacing="1"/>
      <w:ind w:left="0" w:firstLine="0"/>
      <w:jc w:val="right"/>
      <w:textAlignment w:val="center"/>
    </w:pPr>
    <w:rPr>
      <w:rFonts w:ascii="Book Antiqua" w:hAnsi="Book Antiqua"/>
      <w:b/>
      <w:bCs/>
      <w:sz w:val="20"/>
    </w:rPr>
  </w:style>
  <w:style w:type="paragraph" w:customStyle="1" w:styleId="xl105">
    <w:name w:val="xl105"/>
    <w:basedOn w:val="Normal"/>
    <w:rsid w:val="00225D63"/>
    <w:pPr>
      <w:pBdr>
        <w:left w:val="single" w:sz="8" w:space="0" w:color="auto"/>
        <w:bottom w:val="single" w:sz="8" w:space="0" w:color="auto"/>
      </w:pBdr>
      <w:shd w:val="clear" w:color="C0C0C0" w:fill="A6A6A6"/>
      <w:spacing w:before="100" w:beforeAutospacing="1" w:after="100" w:afterAutospacing="1"/>
      <w:ind w:left="0" w:firstLine="0"/>
      <w:jc w:val="right"/>
      <w:textAlignment w:val="center"/>
    </w:pPr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7</Pages>
  <Words>971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145</cp:revision>
  <cp:lastPrinted>2025-11-13T17:01:00Z</cp:lastPrinted>
  <dcterms:created xsi:type="dcterms:W3CDTF">2021-05-27T14:26:00Z</dcterms:created>
  <dcterms:modified xsi:type="dcterms:W3CDTF">2025-11-13T17:01:00Z</dcterms:modified>
</cp:coreProperties>
</file>